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Calibri" w:hAnsi="Calibri" w:eastAsia="SimSun" w:cs="Tahoma"/>
        </w:rPr>
      </w:pPr>
      <w:r>
        <w:rPr>
          <w:rFonts w:ascii="Calibri" w:hAnsi="Calibri" w:eastAsia="SimSun" w:cs="Tahom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61919" cy="923759"/>
                <wp:effectExtent l="0" t="0" r="0" b="0"/>
                <wp:docPr id="1" name="Графический объект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>
                          <a:lum/>
                          <a:alphaModFix/>
                        </a:blip>
                        <a:stretch/>
                      </pic:blipFill>
                      <pic:spPr bwMode="auto">
                        <a:xfrm>
                          <a:off x="0" y="0"/>
                          <a:ext cx="961919" cy="923759"/>
                        </a:xfrm>
                        <a:prstGeom prst="rect">
                          <a:avLst/>
                        </a:prstGeom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5.74pt;height:72.74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rFonts w:ascii="Calibri" w:hAnsi="Calibri" w:eastAsia="SimSun" w:cs="Tahoma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  <w:t xml:space="preserve">ТЫВА РЕСПУБЛИКАНЫН ТЕС-ХЕМ КОЖУУНУН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  <w:t xml:space="preserve">О-ШЫНАА СУМУ ЧАГЫРГАЗЫНЫН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  <w:t xml:space="preserve">ДОКТААЛЫ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ar-SA"/>
        </w:rPr>
        <w:pBdr>
          <w:bottom w:val="single" w:color="000001" w:sz="8" w:space="2"/>
        </w:pBdr>
      </w:pP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  <w:t xml:space="preserve">ПОСТАНОВЛЕНИЕ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ar-SA"/>
        </w:rPr>
        <w:pBdr>
          <w:bottom w:val="single" w:color="000001" w:sz="8" w:space="2"/>
        </w:pBdr>
      </w:pP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  <w:t xml:space="preserve">АДМИНИСТРАЦИИ СУМОНА О-ШЫНАА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ar-SA"/>
        </w:rPr>
        <w:pBdr>
          <w:bottom w:val="single" w:color="000001" w:sz="8" w:space="2"/>
        </w:pBdr>
      </w:pP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  <w:t xml:space="preserve">ТЕС-ХЕМСКОГО КОЖУУНА РЕСПУБЛИКИ ТЫВА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_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ar-SA"/>
        </w:rPr>
        <w:t xml:space="preserve">12_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  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ar-SA"/>
        </w:rPr>
        <w:t xml:space="preserve">от «01» февраля_2021 г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с.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О-Шынаа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Об утверждении схемы размещения нестационарных торговых объектов на территории сельского поселения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сумона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О-Шынаа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Тес-Хемского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кожууна Республики Тыва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сполнения Федерального закона от 28.12.2009 года № 381-ФЗ «Об основах государственного регулирования торговой деятельности в Российской Федерации», Федерального закона от 24.07.2007 года № 209-ФЗ «О развитии малого и среднего предпринимательства в Российск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ой Федерации» в соответствии с приказом Министерства экономики Республики Тыва от 14.04.2019 г. № 64 «Об утверждении порядка разработки утверждения схем размещения нестационарных торговых объектов органами местного самоуправления муниципальных образований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РеспубликиТыва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», руководствуясь Уставом сельского поселения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сумона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О-Шынаа муниципального района «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Тес-Хемский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» Республики Тыва, 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дминистрация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сумона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О-Шынаа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Тес-Хемского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района решила: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1. Утвердить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схему размещения нестационарных торговых объектов на территории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сумона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О-Шынаа (прилагается);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2.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По мере необходимости вносить изменения в схему размещения нестационарных торговых объектов торговли в сельском поселении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сумона О-Шынаа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Тес-Хемского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кожууна Республики Тыва;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3.Контроль за исполнением настоящее постановления оставляю за собой.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spacing w:after="0" w:line="240" w:lineRule="auto"/>
        <w:widowControl w:val="off"/>
        <w:rPr>
          <w:rFonts w:ascii="Arial" w:hAnsi="Arial" w:eastAsia="Times New Roman" w:cs="Arial"/>
          <w:b/>
          <w:bCs/>
          <w:sz w:val="28"/>
          <w:szCs w:val="28"/>
        </w:rPr>
      </w:pPr>
      <w:r>
        <w:rPr>
          <w:rFonts w:ascii="Arial" w:hAnsi="Arial" w:eastAsia="Times New Roman" w:cs="Arial"/>
          <w:b/>
          <w:bCs/>
          <w:sz w:val="28"/>
          <w:szCs w:val="28"/>
        </w:rPr>
      </w:r>
      <w:r>
        <w:rPr>
          <w:rFonts w:ascii="Arial" w:hAnsi="Arial" w:eastAsia="Times New Roman" w:cs="Arial"/>
          <w:b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Calibri" w:hAnsi="Calibri" w:eastAsia="SimSun" w:cs="Tahoma"/>
        </w:rPr>
      </w:pPr>
      <w:r>
        <w:rPr>
          <w:rFonts w:ascii="Times New Roman" w:hAnsi="Times New Roman" w:eastAsia="SimSun" w:cs="Times New Roman"/>
          <w:sz w:val="28"/>
          <w:szCs w:val="28"/>
        </w:rPr>
        <w:t xml:space="preserve">Председатель Администрации</w:t>
      </w:r>
      <w:r>
        <w:rPr>
          <w:rFonts w:ascii="Calibri" w:hAnsi="Calibri" w:eastAsia="SimSun" w:cs="Tahoma"/>
        </w:rPr>
      </w:r>
    </w:p>
    <w:p>
      <w:pPr>
        <w:jc w:val="center"/>
        <w:spacing w:after="0" w:line="240" w:lineRule="auto"/>
        <w:rPr>
          <w:rFonts w:ascii="Times New Roman" w:hAnsi="Times New Roman" w:eastAsia="SimSun" w:cs="Times New Roman"/>
          <w:sz w:val="28"/>
          <w:szCs w:val="28"/>
          <w:highlight w:val="none"/>
        </w:rPr>
      </w:pPr>
      <w:r>
        <w:rPr>
          <w:rFonts w:ascii="Times New Roman" w:hAnsi="Times New Roman" w:eastAsia="SimSun" w:cs="Times New Roman"/>
          <w:sz w:val="28"/>
          <w:szCs w:val="28"/>
        </w:rPr>
        <w:t xml:space="preserve">Сумона</w:t>
      </w:r>
      <w:r>
        <w:rPr>
          <w:rFonts w:ascii="Times New Roman" w:hAnsi="Times New Roman" w:eastAsia="SimSun" w:cs="Times New Roman"/>
          <w:sz w:val="28"/>
          <w:szCs w:val="28"/>
        </w:rPr>
        <w:t xml:space="preserve"> </w:t>
      </w:r>
      <w:r>
        <w:rPr>
          <w:rFonts w:ascii="Times New Roman" w:hAnsi="Times New Roman" w:eastAsia="SimSun" w:cs="Times New Roman"/>
          <w:sz w:val="28"/>
          <w:szCs w:val="28"/>
        </w:rPr>
        <w:t xml:space="preserve">О-Шынаа                                                            Эртине Д.Д.</w:t>
      </w:r>
      <w:r>
        <w:rPr>
          <w:rFonts w:ascii="Times New Roman" w:hAnsi="Times New Roman" w:eastAsia="SimSun" w:cs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  <w:highlight w:val="none"/>
        </w:rPr>
      </w:r>
      <w:r>
        <w:rPr>
          <w:rFonts w:ascii="Times New Roman" w:hAnsi="Times New Roman" w:eastAsia="SimSun" w:cs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widowControl w:val="off"/>
        <w:rPr>
          <w:rFonts w:ascii="Arial" w:hAnsi="Arial" w:eastAsia="Times New Roman" w:cs="Arial"/>
          <w:b/>
          <w:bCs/>
          <w:sz w:val="28"/>
          <w:szCs w:val="28"/>
        </w:rPr>
      </w:pPr>
      <w:r>
        <w:rPr>
          <w:rFonts w:ascii="Arial" w:hAnsi="Arial" w:eastAsia="Times New Roman" w:cs="Arial"/>
          <w:b/>
          <w:bCs/>
          <w:sz w:val="28"/>
          <w:szCs w:val="28"/>
        </w:rPr>
      </w:r>
      <w:r>
        <w:rPr>
          <w:rFonts w:ascii="Arial" w:hAnsi="Arial" w:eastAsia="Times New Roman" w:cs="Arial"/>
          <w:b/>
          <w:bCs/>
          <w:sz w:val="28"/>
          <w:szCs w:val="28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Приложение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к постановлению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Администрации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сумона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О-Шынаа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u w:val="single"/>
        </w:rPr>
        <w:t xml:space="preserve">от «___»  ___________________</w:t>
      </w:r>
      <w:r>
        <w:rPr>
          <w:rFonts w:ascii="Times New Roman" w:hAnsi="Times New Roman" w:eastAsia="Times New Roman" w:cs="Times New Roman"/>
          <w:bCs/>
          <w:sz w:val="28"/>
          <w:szCs w:val="28"/>
          <w:u w:val="single"/>
        </w:rPr>
      </w:r>
    </w:p>
    <w:p>
      <w:pPr>
        <w:jc w:val="center"/>
        <w:spacing w:after="0" w:line="240" w:lineRule="auto"/>
        <w:widowControl w:val="off"/>
        <w:rPr>
          <w:rFonts w:ascii="Arial" w:hAnsi="Arial" w:eastAsia="Times New Roman" w:cs="Arial"/>
          <w:b/>
          <w:bCs/>
          <w:sz w:val="28"/>
          <w:szCs w:val="28"/>
        </w:rPr>
      </w:pPr>
      <w:r>
        <w:rPr>
          <w:rFonts w:ascii="Arial" w:hAnsi="Arial" w:eastAsia="Times New Roman" w:cs="Arial"/>
          <w:b/>
          <w:bCs/>
          <w:sz w:val="28"/>
          <w:szCs w:val="28"/>
        </w:rPr>
      </w:r>
      <w:r>
        <w:rPr>
          <w:rFonts w:ascii="Arial" w:hAnsi="Arial" w:eastAsia="Times New Roman" w:cs="Arial"/>
          <w:b/>
          <w:bCs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Arial" w:hAnsi="Arial" w:eastAsia="Times New Roman" w:cs="Arial"/>
          <w:b/>
          <w:bCs/>
          <w:sz w:val="28"/>
          <w:szCs w:val="28"/>
        </w:rPr>
      </w:pPr>
      <w:r>
        <w:rPr>
          <w:rFonts w:ascii="Arial" w:hAnsi="Arial" w:eastAsia="Times New Roman" w:cs="Arial"/>
          <w:b/>
          <w:bCs/>
          <w:sz w:val="28"/>
          <w:szCs w:val="28"/>
        </w:rPr>
      </w:r>
      <w:r>
        <w:rPr>
          <w:rFonts w:ascii="Arial" w:hAnsi="Arial" w:eastAsia="Times New Roman" w:cs="Arial"/>
          <w:b/>
          <w:bCs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Схема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размещения нестационарных торговых объектов 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на территории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сумона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О-Шынаа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tbl>
      <w:tblPr>
        <w:tblStyle w:val="621"/>
        <w:tblW w:w="1027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42"/>
        <w:gridCol w:w="1930"/>
        <w:gridCol w:w="1451"/>
        <w:gridCol w:w="2028"/>
        <w:gridCol w:w="1353"/>
        <w:gridCol w:w="1623"/>
        <w:gridCol w:w="1352"/>
      </w:tblGrid>
      <w:tr>
        <w:trPr>
          <w:trHeight w:val="2024"/>
        </w:trPr>
        <w:tc>
          <w:tcPr>
            <w:tcW w:w="542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 xml:space="preserve">№ </w:t>
            </w:r>
            <w:r>
              <w:rPr>
                <w:bCs/>
                <w:sz w:val="24"/>
                <w:szCs w:val="28"/>
              </w:rPr>
              <w:t xml:space="preserve">п</w:t>
            </w:r>
            <w:r>
              <w:rPr>
                <w:bCs/>
                <w:sz w:val="24"/>
                <w:szCs w:val="28"/>
              </w:rPr>
              <w:t xml:space="preserve">/</w:t>
            </w:r>
            <w:r>
              <w:rPr>
                <w:bCs/>
                <w:sz w:val="24"/>
                <w:szCs w:val="28"/>
              </w:rPr>
              <w:t xml:space="preserve">п</w:t>
            </w:r>
            <w:r>
              <w:rPr>
                <w:bCs/>
                <w:sz w:val="24"/>
                <w:szCs w:val="28"/>
              </w:rPr>
            </w:r>
          </w:p>
        </w:tc>
        <w:tc>
          <w:tcPr>
            <w:tcW w:w="1930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 xml:space="preserve">Место нахождения нестационарного торгового объекта</w:t>
            </w:r>
            <w:r>
              <w:rPr>
                <w:bCs/>
                <w:sz w:val="24"/>
                <w:szCs w:val="28"/>
              </w:rPr>
            </w:r>
          </w:p>
        </w:tc>
        <w:tc>
          <w:tcPr>
            <w:tcW w:w="14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 xml:space="preserve">Специализация</w:t>
            </w:r>
            <w:r>
              <w:rPr>
                <w:bCs/>
                <w:sz w:val="24"/>
                <w:szCs w:val="28"/>
              </w:rPr>
            </w:r>
          </w:p>
          <w:p>
            <w:pPr>
              <w:jc w:val="center"/>
              <w:widowControl w:val="off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 xml:space="preserve">нестационарного</w:t>
            </w:r>
            <w:r>
              <w:rPr>
                <w:bCs/>
                <w:sz w:val="24"/>
                <w:szCs w:val="28"/>
              </w:rPr>
            </w:r>
          </w:p>
          <w:p>
            <w:pPr>
              <w:jc w:val="center"/>
              <w:widowControl w:val="off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 xml:space="preserve">торгового объекта</w:t>
            </w:r>
            <w:r>
              <w:rPr>
                <w:bCs/>
                <w:sz w:val="24"/>
                <w:szCs w:val="28"/>
              </w:rPr>
            </w:r>
          </w:p>
        </w:tc>
        <w:tc>
          <w:tcPr>
            <w:tcW w:w="2028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 xml:space="preserve">Тип торгового объекта используемого для осуществления торговой деятельности</w:t>
            </w:r>
            <w:r>
              <w:rPr>
                <w:bCs/>
                <w:sz w:val="24"/>
                <w:szCs w:val="28"/>
              </w:rPr>
            </w:r>
          </w:p>
        </w:tc>
        <w:tc>
          <w:tcPr>
            <w:tcW w:w="1353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 xml:space="preserve">Срок осуществления торговой деятельности</w:t>
            </w:r>
            <w:r>
              <w:rPr>
                <w:bCs/>
                <w:sz w:val="24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 xml:space="preserve">Площадь</w:t>
            </w:r>
            <w:r>
              <w:rPr>
                <w:bCs/>
                <w:sz w:val="24"/>
                <w:szCs w:val="28"/>
              </w:rPr>
            </w:r>
          </w:p>
          <w:p>
            <w:pPr>
              <w:jc w:val="center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4"/>
                <w:szCs w:val="28"/>
              </w:rPr>
              <w:t xml:space="preserve">нестационарного торгового объекта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1352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Режим работы</w:t>
            </w:r>
            <w:r>
              <w:rPr>
                <w:bCs/>
                <w:sz w:val="28"/>
                <w:szCs w:val="28"/>
              </w:rPr>
            </w:r>
          </w:p>
        </w:tc>
      </w:tr>
      <w:tr>
        <w:trPr>
          <w:trHeight w:val="885"/>
        </w:trPr>
        <w:tc>
          <w:tcPr>
            <w:tcW w:w="542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1930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 xml:space="preserve">О-Шынаа ул.Лесная</w:t>
            </w:r>
            <w:r>
              <w:rPr>
                <w:bCs/>
                <w:sz w:val="24"/>
                <w:szCs w:val="28"/>
              </w:rPr>
              <w:t xml:space="preserve"> 18 возле здания СДК</w:t>
            </w:r>
            <w:r>
              <w:rPr>
                <w:bCs/>
                <w:sz w:val="24"/>
                <w:szCs w:val="28"/>
              </w:rPr>
            </w:r>
          </w:p>
        </w:tc>
        <w:tc>
          <w:tcPr>
            <w:tcW w:w="14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 xml:space="preserve">неспециализированный</w:t>
            </w:r>
            <w:r>
              <w:rPr>
                <w:bCs/>
                <w:sz w:val="24"/>
                <w:szCs w:val="28"/>
              </w:rPr>
            </w:r>
          </w:p>
        </w:tc>
        <w:tc>
          <w:tcPr>
            <w:tcW w:w="2028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 xml:space="preserve">Лоток или иное временное сооружение</w:t>
            </w:r>
            <w:r>
              <w:rPr>
                <w:bCs/>
                <w:sz w:val="24"/>
                <w:szCs w:val="28"/>
              </w:rPr>
            </w:r>
          </w:p>
        </w:tc>
        <w:tc>
          <w:tcPr>
            <w:tcW w:w="1353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 xml:space="preserve">Апрель-октябрь</w:t>
            </w:r>
            <w:r>
              <w:rPr>
                <w:bCs/>
                <w:sz w:val="24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 xml:space="preserve">15 кв.м.</w:t>
            </w:r>
            <w:r>
              <w:rPr>
                <w:bCs/>
                <w:sz w:val="24"/>
                <w:szCs w:val="28"/>
              </w:rPr>
            </w:r>
          </w:p>
        </w:tc>
        <w:tc>
          <w:tcPr>
            <w:tcW w:w="1352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 xml:space="preserve">Свободный график</w:t>
            </w:r>
            <w:r>
              <w:rPr>
                <w:bCs/>
                <w:sz w:val="24"/>
                <w:szCs w:val="28"/>
              </w:rPr>
            </w:r>
          </w:p>
        </w:tc>
      </w:tr>
    </w:tbl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Arial" w:hAnsi="Arial" w:eastAsia="Times New Roman" w:cs="Arial"/>
          <w:b/>
          <w:bCs/>
          <w:sz w:val="28"/>
          <w:szCs w:val="28"/>
        </w:rPr>
      </w:pPr>
      <w:r>
        <w:rPr>
          <w:rFonts w:ascii="Arial" w:hAnsi="Arial" w:eastAsia="Times New Roman" w:cs="Arial"/>
          <w:b/>
          <w:bCs/>
          <w:sz w:val="28"/>
          <w:szCs w:val="28"/>
        </w:rPr>
      </w:r>
      <w:r>
        <w:rPr>
          <w:rFonts w:ascii="Arial" w:hAnsi="Arial" w:eastAsia="Times New Roman" w:cs="Arial"/>
          <w:b/>
          <w:bCs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Arial" w:hAnsi="Arial" w:eastAsia="Times New Roman" w:cs="Arial"/>
          <w:b/>
          <w:bCs/>
          <w:sz w:val="28"/>
          <w:szCs w:val="28"/>
        </w:rPr>
      </w:pPr>
      <w:r>
        <w:rPr>
          <w:rFonts w:ascii="Arial" w:hAnsi="Arial" w:eastAsia="Times New Roman" w:cs="Arial"/>
          <w:b/>
          <w:bCs/>
          <w:sz w:val="28"/>
          <w:szCs w:val="28"/>
        </w:rPr>
      </w:r>
      <w:r>
        <w:rPr>
          <w:rFonts w:ascii="Arial" w:hAnsi="Arial" w:eastAsia="Times New Roman" w:cs="Arial"/>
          <w:b/>
          <w:bCs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Arial" w:hAnsi="Arial" w:eastAsia="Times New Roman" w:cs="Arial"/>
          <w:b/>
          <w:bCs/>
          <w:sz w:val="28"/>
          <w:szCs w:val="28"/>
        </w:rPr>
      </w:pPr>
      <w:r>
        <w:rPr>
          <w:rFonts w:ascii="Arial" w:hAnsi="Arial" w:eastAsia="Times New Roman" w:cs="Arial"/>
          <w:b/>
          <w:bCs/>
          <w:sz w:val="28"/>
          <w:szCs w:val="28"/>
        </w:rPr>
      </w:r>
      <w:r>
        <w:rPr>
          <w:rFonts w:ascii="Arial" w:hAnsi="Arial" w:eastAsia="Times New Roman" w:cs="Arial"/>
          <w:b/>
          <w:bCs/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20603020101020101"/>
  </w:font>
  <w:font w:name="Calibri">
    <w:panose1 w:val="020F0502020204030204"/>
  </w:font>
  <w:font w:name="Tahoma">
    <w:panose1 w:val="020B0506030602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table" w:styleId="621">
    <w:name w:val="Table Grid"/>
    <w:basedOn w:val="61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22">
    <w:name w:val="Balloon Text"/>
    <w:basedOn w:val="617"/>
    <w:link w:val="62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23" w:customStyle="1">
    <w:name w:val="Текст выноски Знак"/>
    <w:basedOn w:val="618"/>
    <w:link w:val="622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Кулча-Хыраа Балчыр</cp:lastModifiedBy>
  <cp:revision>3</cp:revision>
  <dcterms:created xsi:type="dcterms:W3CDTF">2024-05-03T03:30:00Z</dcterms:created>
  <dcterms:modified xsi:type="dcterms:W3CDTF">2024-05-08T09:48:47Z</dcterms:modified>
</cp:coreProperties>
</file>