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after="150" w:afterAutospacing="0"/>
        <w:rPr>
          <w:color w:val="242424"/>
        </w:rPr>
      </w:pPr>
      <w:r>
        <w:rPr>
          <w:b/>
          <w:bCs/>
          <w:color w:val="242424"/>
        </w:rPr>
        <w:t xml:space="preserve">)Информация о количестве субъектов малого и среднего предпринимательства и об их классификации по видам экономической деятельности;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На территории </w:t>
      </w:r>
      <w:r>
        <w:rPr>
          <w:color w:val="242424"/>
        </w:rPr>
        <w:t xml:space="preserve">сумона</w:t>
      </w:r>
      <w:r>
        <w:rPr>
          <w:color w:val="242424"/>
        </w:rPr>
        <w:t xml:space="preserve"> </w:t>
      </w:r>
      <w:r>
        <w:rPr>
          <w:color w:val="242424"/>
        </w:rPr>
        <w:t xml:space="preserve">О-Шынаа  зарегистрировано в 2022 году – 12;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b/>
          <w:bCs/>
          <w:color w:val="242424"/>
        </w:rPr>
        <w:t xml:space="preserve">     Распределение субъектов малого и среднего предпринимательства по видам экономической деятельности</w:t>
      </w:r>
      <w:r>
        <w:rPr>
          <w:color w:val="242424"/>
        </w:rPr>
        <w:t xml:space="preserve">: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сельское хозяйство, охота и лесное хозяйство – 4 субъектов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рыболовство, рыбоводство –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добыча полезных ископаемых —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обрабатывающие производства – 2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производство и распределение электроэнергии, газа и воды –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строительство –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оптовая и розничная торговля - 3;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ремонт автотранспортных средств, мотоциклов, бытовых изделий и предметов личного пользования –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общественное питание – 3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транспорт и связь –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финансовая деятельность –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операции с недвижимым имуществом, аренда и предоставление услуг —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государственное управление и обеспечение военной безопасности; обязательное социальное обеспечение —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образование –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здравоохранение и предоставление социальных услуг –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предоставление прочих коммунальных, социальных и персональных услуг – 0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b/>
          <w:bCs/>
          <w:color w:val="242424"/>
        </w:rPr>
        <w:t xml:space="preserve">3) Информация о числе замещенных рабочих мест в субъектах малого и среднего предпринимательства;</w:t>
      </w:r>
      <w:r>
        <w:rPr>
          <w:b/>
          <w:bCs/>
          <w:color w:val="242424"/>
        </w:rPr>
        <w:t xml:space="preserve"> 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По данным статистических наблюдений по субъектам малого и среднего предпринимательства: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в</w:t>
      </w:r>
      <w:r>
        <w:rPr>
          <w:color w:val="242424"/>
        </w:rPr>
        <w:t xml:space="preserve"> </w:t>
      </w:r>
      <w:r>
        <w:rPr>
          <w:color w:val="242424"/>
        </w:rPr>
        <w:t xml:space="preserve">отчетному</w:t>
      </w:r>
      <w:r>
        <w:rPr>
          <w:color w:val="242424"/>
        </w:rPr>
        <w:t xml:space="preserve"> году 2022 году – 2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Расчет показателя осуществляется на основе имеющихся данных по итогам наблюдения за деятельностью субъектов малого и среднего предпринимательства за 2022 год.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color w:val="242424"/>
        </w:rPr>
        <w:t xml:space="preserve"> 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b/>
          <w:bCs/>
          <w:color w:val="242424"/>
        </w:rPr>
        <w:t xml:space="preserve">4)Информация об обороте товаров (работ, услуг), производимых субъектами малого и среднего предпринимательства;</w:t>
      </w:r>
      <w:r>
        <w:rPr>
          <w:color w:val="242424"/>
        </w:rPr>
      </w:r>
    </w:p>
    <w:p>
      <w:pPr>
        <w:pStyle w:val="621"/>
        <w:spacing w:after="150" w:afterAutospacing="0"/>
        <w:rPr>
          <w:color w:val="242424"/>
        </w:rPr>
      </w:pPr>
      <w:r>
        <w:rPr>
          <w:b/>
          <w:bCs/>
          <w:color w:val="242424"/>
        </w:rPr>
        <w:t xml:space="preserve">Субъекты малого предпринимательства</w:t>
      </w:r>
      <w:r>
        <w:rPr>
          <w:color w:val="242424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167"/>
        <w:gridCol w:w="1136"/>
        <w:gridCol w:w="1045"/>
        <w:gridCol w:w="554"/>
        <w:gridCol w:w="1093"/>
        <w:gridCol w:w="1435"/>
      </w:tblGrid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э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кономической деятельности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Юридические лица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>
          <w:trHeight w:val="0"/>
        </w:trPr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Количество действующих малых предприятий, единиц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Оборот организаций, млн. рублей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Инвестиции в основной капитал, млн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.р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уб.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Средняя численность, человек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Среднемесячная заработная плата, рублей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всего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в том числе 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средне-списочная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 численность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Всего,                                                     в том числе по видам экономической деятельности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12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151515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151515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12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12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33060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Сельское хозяйство, охота и лесное хозяйство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4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151515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4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4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Рыболовство, рыбоводство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Добыча полезных ископаемых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Обрабатывающие производства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2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151515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3033,3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Производство и распределение электроэнергии, газа и воды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Строительство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3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1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,1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151515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3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151515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151515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3033,3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Гостиницы и рестораны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Транспорт и связь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Финансовая деятельность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Операции с недвижимым имуществом, аренда и предоставление услуг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Образование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Здравоохранение и предоставление социальных услуг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Предоставление прочих коммунальных, социальных и персональных услуг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Другие виды деятельности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color w:val="333333"/>
          <w:sz w:val="20"/>
          <w:szCs w:val="20"/>
        </w:rPr>
        <w:t xml:space="preserve"> Среднее предпринимательство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before="100" w:beforeAutospacing="1" w:after="150" w:line="240" w:lineRule="auto"/>
        <w:rPr>
          <w:rFonts w:ascii="Arial" w:hAnsi="Arial" w:eastAsia="Times New Roman" w:cs="Arial"/>
          <w:color w:val="242424"/>
          <w:sz w:val="20"/>
          <w:szCs w:val="20"/>
        </w:rPr>
      </w:pPr>
      <w:r>
        <w:rPr>
          <w:rFonts w:ascii="Arial" w:hAnsi="Arial" w:eastAsia="Times New Roman" w:cs="Arial"/>
          <w:color w:val="242424"/>
          <w:sz w:val="20"/>
          <w:szCs w:val="20"/>
        </w:rPr>
        <w:t xml:space="preserve"> </w:t>
      </w:r>
      <w:r>
        <w:rPr>
          <w:rFonts w:ascii="Arial" w:hAnsi="Arial" w:eastAsia="Times New Roman" w:cs="Arial"/>
          <w:color w:val="242424"/>
          <w:sz w:val="20"/>
          <w:szCs w:val="20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183"/>
        <w:gridCol w:w="1152"/>
        <w:gridCol w:w="1060"/>
        <w:gridCol w:w="560"/>
        <w:gridCol w:w="1108"/>
        <w:gridCol w:w="1455"/>
      </w:tblGrid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Виды экономической деятельности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gridSpan w:val="6"/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Юридические лица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>
          <w:trHeight w:val="0"/>
        </w:trPr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Количество действующих средних предприятий, единиц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Оборот организаций, млн. рублей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Инвестиции в основной капитал, млн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.р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уб.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Средняя численность, человек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Среднемесячная заработная плата, рублей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всего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в том числе 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средне-списочная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 численность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Всего,                                                  в том числе по видам экономической деятельности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Сельское хозяйство, охота и лесное хозяйство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Рыболовство, рыбоводство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Добыча полезных 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ископаемых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Обрабатывающие производства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Производство и распределение электроэнергии, газа и воды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Строительство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Гостиницы и рестораны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Транспорт и связь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Финансовая деятельность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Операции с недвижимым имуществом, аренда и предоставление услуг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Образование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Здравоохранение и предоставление социальных услуг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Предоставление прочих коммунальных, социальных и персональных услуг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2fafe"/>
            <w:tcBorders>
              <w:top w:val="single" w:color="auto" w:sz="2" w:space="0"/>
              <w:left w:val="single" w:color="auto" w:sz="2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Другие виды деятельности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 0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  <w:tc>
          <w:tcPr>
            <w:shd w:val="clear" w:color="auto" w:fill="f2fafe"/>
            <w:tcBorders>
              <w:top w:val="single" w:color="auto" w:sz="2" w:space="0"/>
              <w:left w:val="single" w:color="CCDDEE" w:sz="6" w:space="0"/>
              <w:bottom w:val="single" w:color="D1D1D1" w:sz="6" w:space="0"/>
              <w:right w:val="single" w:color="auto" w:sz="2" w:space="0"/>
            </w:tcBorders>
            <w:tcMar>
              <w:left w:w="75" w:type="dxa"/>
              <w:top w:w="150" w:type="dxa"/>
              <w:right w:w="75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50" w:line="240" w:lineRule="auto"/>
              <w:rPr>
                <w:rFonts w:ascii="Arial" w:hAnsi="Arial" w:eastAsia="Times New Roman" w:cs="Arial"/>
                <w:color w:val="242424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  <w:t xml:space="preserve">0 </w:t>
            </w:r>
            <w:r>
              <w:rPr>
                <w:rFonts w:ascii="Arial" w:hAnsi="Arial" w:eastAsia="Times New Roman" w:cs="Arial"/>
                <w:color w:val="242424"/>
                <w:sz w:val="20"/>
                <w:szCs w:val="20"/>
              </w:rPr>
            </w:r>
          </w:p>
        </w:tc>
      </w:tr>
    </w:tbl>
    <w:p>
      <w:pPr>
        <w:spacing w:before="100" w:beforeAutospacing="1" w:after="150" w:line="240" w:lineRule="auto"/>
        <w:rPr>
          <w:rFonts w:ascii="Arial" w:hAnsi="Arial" w:eastAsia="Times New Roman" w:cs="Arial"/>
          <w:color w:val="242424"/>
          <w:sz w:val="20"/>
          <w:szCs w:val="20"/>
        </w:rPr>
      </w:pPr>
      <w:r>
        <w:rPr>
          <w:rFonts w:ascii="Arial" w:hAnsi="Arial" w:eastAsia="Times New Roman" w:cs="Arial"/>
          <w:color w:val="242424"/>
          <w:sz w:val="20"/>
          <w:szCs w:val="20"/>
        </w:rPr>
      </w:r>
      <w:r>
        <w:rPr>
          <w:rFonts w:ascii="Arial" w:hAnsi="Arial" w:eastAsia="Times New Roman" w:cs="Arial"/>
          <w:color w:val="242424"/>
          <w:sz w:val="20"/>
          <w:szCs w:val="20"/>
        </w:rPr>
      </w:r>
    </w:p>
    <w:p>
      <w:pPr>
        <w:spacing w:before="100" w:beforeAutospacing="1" w:after="150" w:line="24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5) Информация о финансово-экономическом состоянии субъектов малого и среднего предпринимательства;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</w:r>
    </w:p>
    <w:p>
      <w:pPr>
        <w:spacing w:before="100" w:beforeAutospacing="1" w:after="150" w:line="24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В расчете на 1 тысяча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человек населения приходится 12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зарегистрированных субъекта малого и среднего предпринимательства.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</w:r>
    </w:p>
    <w:p>
      <w:pPr>
        <w:jc w:val="both"/>
        <w:spacing w:before="100" w:beforeAutospacing="1" w:after="150" w:line="24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Данный показатель увеличился на 5 % по сравнению с 2020 годом. В дальнейшем так же планируется увеличение данного показателя в среднем на 2% в год. 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Тенденция прослеживается из-за успешной реализации положений Федерального закона Российской Федерации от 24 июля 2007 г. N 209-ФЗ «О развитии малого и среднего предпринимате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льства в Российской Федерации» и разработанных в соответствии с данным законом Закон «О развитии малого и среднего предпринимательства в Республике Тыва» № 795 ВХ-2 от 07.07.2008 г и № 18/1 от 05.04.2018 г муниципальная целевая программа «Развитие малого и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среднего предпринимательства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на территории 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сумона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О-Шынаа на 2018-2021 годы», социальной помощи на основе социального контракта (направление – осуществление предпринимательской деятельности, личное подсобное хозяйство)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</w:r>
    </w:p>
    <w:p>
      <w:pPr>
        <w:jc w:val="both"/>
        <w:spacing w:before="100" w:beforeAutospacing="1" w:after="150" w:line="24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6) Информация об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</w:r>
    </w:p>
    <w:p>
      <w:pPr>
        <w:jc w:val="both"/>
        <w:spacing w:before="100" w:beforeAutospacing="1" w:after="150" w:line="24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Инфраструктурой поддержки субъектов малого и средне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го предпринимательства 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ние работ,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программ развития субъектов малого и среднего предпринимательства, обеспечивающих условия для создания субъектов малого и среднего предпринимательства, и оказания им поддержки;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</w:r>
    </w:p>
    <w:p>
      <w:pPr>
        <w:jc w:val="both"/>
        <w:spacing w:before="100" w:beforeAutospacing="1" w:after="150" w:line="24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7) О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</w:r>
    </w:p>
    <w:p>
      <w:pPr>
        <w:jc w:val="both"/>
        <w:spacing w:before="100" w:beforeAutospacing="1" w:after="150" w:line="24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Конкурсы на оказание финансовой поддержки субъектам МСП не объявлялись.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</w:r>
    </w:p>
    <w:p>
      <w:pPr>
        <w:jc w:val="both"/>
        <w:spacing w:before="100" w:beforeAutospacing="1" w:after="150" w:line="24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Перечень данных организаций размещен на официальном сайте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администрации 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сумона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О-Шынаа.</w:t>
      </w:r>
      <w:r>
        <w:rPr>
          <w:rFonts w:ascii="Times New Roman" w:hAnsi="Times New Roman" w:eastAsia="Times New Roman" w:cs="Times New Roman"/>
          <w:color w:val="242424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2C08-DAFD-4D74-B380-194ABDB5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Кулча-Хыраа Балчыр</cp:lastModifiedBy>
  <cp:revision>3</cp:revision>
  <dcterms:created xsi:type="dcterms:W3CDTF">2024-05-08T02:39:00Z</dcterms:created>
  <dcterms:modified xsi:type="dcterms:W3CDTF">2024-05-08T09:54:49Z</dcterms:modified>
</cp:coreProperties>
</file>